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textAlignment w:val="bottom"/>
        <w:rPr>
          <w:rFonts w:hint="default" w:ascii="黑体" w:hAnsi="宋体" w:eastAsia="黑体" w:cs="黑体"/>
          <w:bCs w:val="0"/>
          <w:color w:val="000000"/>
          <w:kern w:val="0"/>
          <w:sz w:val="32"/>
          <w:szCs w:val="32"/>
          <w:lang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宋体" w:eastAsia="黑体" w:cs="黑体"/>
          <w:bCs w:val="0"/>
          <w:color w:val="000000"/>
          <w:kern w:val="0"/>
          <w:sz w:val="32"/>
          <w:szCs w:val="32"/>
          <w:lang w:val="en-US" w:eastAsia="zh-CN" w:bidi="ar"/>
        </w:rPr>
        <w:t>5</w:t>
      </w:r>
    </w:p>
    <w:p>
      <w:pPr>
        <w:spacing w:line="56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202</w:t>
      </w:r>
      <w:r>
        <w:rPr>
          <w:rFonts w:hint="default" w:ascii="方正小标宋简体" w:eastAsia="方正小标宋简体"/>
          <w:spacing w:val="-6"/>
          <w:sz w:val="44"/>
          <w:szCs w:val="44"/>
          <w:lang w:val="en"/>
        </w:rPr>
        <w:t>3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年度国家知识产权局专利专项研究项目申报指南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Nimbus Roman No9 L" w:hAnsi="Nimbus Roman No9 L" w:eastAsia="黑体" w:cs="Nimbus Roman No9 L"/>
          <w:sz w:val="32"/>
          <w:szCs w:val="22"/>
        </w:rPr>
      </w:pPr>
      <w:r>
        <w:rPr>
          <w:rFonts w:hint="default" w:ascii="Nimbus Roman No9 L" w:hAnsi="Nimbus Roman No9 L" w:eastAsia="黑体" w:cs="Nimbus Roman No9 L"/>
          <w:sz w:val="32"/>
          <w:szCs w:val="22"/>
        </w:rPr>
        <w:t>一、总体目标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深入学习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贯彻党的二十大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精神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和2022年中央经济工作会议精神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，认真贯彻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落实习近平总书记关于知识产权工作的重要指示论述和党中央、国务院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各项决策部署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全面落实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《知识产权强国建设纲要（2021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—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2035 年）》和《“十四五”国家知识产权保护和运用规划》，围绕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专利事业发展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重点、难点、热点问题，以及国家关键核心技术领域开展研究，着力形成一批高价值的研究成果，扎实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知识产权事业高质量发展，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为建设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知识产权强国提供有力支撑。</w:t>
      </w:r>
    </w:p>
    <w:p>
      <w:pPr>
        <w:spacing w:line="560" w:lineRule="exact"/>
        <w:ind w:firstLine="640" w:firstLineChars="200"/>
        <w:rPr>
          <w:rFonts w:ascii="Nimbus Roman No9 L" w:hAnsi="Nimbus Roman No9 L" w:eastAsia="黑体" w:cs="Nimbus Roman No9 L"/>
          <w:sz w:val="32"/>
          <w:szCs w:val="22"/>
        </w:rPr>
      </w:pPr>
      <w:r>
        <w:rPr>
          <w:rFonts w:hint="default" w:ascii="Nimbus Roman No9 L" w:hAnsi="Nimbus Roman No9 L" w:eastAsia="黑体" w:cs="Nimbus Roman No9 L"/>
          <w:sz w:val="32"/>
          <w:szCs w:val="22"/>
        </w:rPr>
        <w:t>二、申报要求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（一）可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单独或联合申报，其中联合申报最多不超过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3家单位/部门，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且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须确定一家牵头单位。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单独申报单位或联合申报的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牵头单位需具备独立法人资格，党政机关不得作为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单独申报单位或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牵头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  <w:lang w:eastAsia="zh-CN"/>
        </w:rPr>
        <w:t>申报</w:t>
      </w: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单位。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（二）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课题研究人员总人数为10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—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15人，研究人员原则上应具备5年以上工作经验或3年以上研究经验。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spacing w:val="0"/>
          <w:kern w:val="0"/>
          <w:sz w:val="32"/>
          <w:szCs w:val="32"/>
        </w:rPr>
        <w:t>（三）申报单位/部门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可参考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本指南的重点方向，结合研究积累和工作实际，自选角度、自拟题目进行申报。选题要强化问题导向，聚焦关键点，紧跟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事业发展的新进展，体现研究的前瞻性、针对性和实用性。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（四）对于关键核心技术专利分析类课题，申报单位/部门应当具备专利分析研究经验。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（五）项目研究时间为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—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8个月。</w:t>
      </w:r>
    </w:p>
    <w:p>
      <w:pPr>
        <w:spacing w:line="560" w:lineRule="exact"/>
        <w:ind w:firstLine="640" w:firstLineChars="200"/>
        <w:rPr>
          <w:rFonts w:ascii="Nimbus Roman No9 L" w:hAnsi="Nimbus Roman No9 L" w:eastAsia="黑体" w:cs="Nimbus Roman No9 L"/>
          <w:sz w:val="32"/>
          <w:szCs w:val="22"/>
        </w:rPr>
      </w:pPr>
      <w:r>
        <w:rPr>
          <w:rFonts w:hint="default" w:ascii="Nimbus Roman No9 L" w:hAnsi="Nimbus Roman No9 L" w:eastAsia="黑体" w:cs="Nimbus Roman No9 L"/>
          <w:sz w:val="32"/>
          <w:szCs w:val="22"/>
        </w:rPr>
        <w:t>三、重点方向</w:t>
      </w:r>
    </w:p>
    <w:p>
      <w:pPr>
        <w:spacing w:line="560" w:lineRule="exact"/>
        <w:ind w:firstLine="643" w:firstLineChars="200"/>
        <w:rPr>
          <w:rFonts w:ascii="Nimbus Roman No9 L" w:hAnsi="Nimbus Roman No9 L" w:eastAsia="楷体_GB2312" w:cs="Nimbus Roman No9 L"/>
          <w:b/>
          <w:bCs/>
          <w:sz w:val="32"/>
          <w:szCs w:val="22"/>
        </w:rPr>
      </w:pPr>
      <w:r>
        <w:rPr>
          <w:rFonts w:hint="default" w:ascii="Nimbus Roman No9 L" w:hAnsi="Nimbus Roman No9 L" w:eastAsia="楷体_GB2312" w:cs="Nimbus Roman No9 L"/>
          <w:b/>
          <w:bCs/>
          <w:sz w:val="32"/>
          <w:szCs w:val="22"/>
        </w:rPr>
        <w:t>（一）专利制度理论与实践类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1.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以保护和激励创新为目的的法律制度完善研究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（1）适应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高质量发展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的专利保护客体研究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（2）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专利权滥用法律规制研究</w:t>
      </w: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（3）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集成电路布图设计法规重点问题研究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专利审查政策和标准研究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  <w:lang w:val="en"/>
        </w:rPr>
        <w:t>4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芯片、中医药、外观设计等特定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eastAsia="zh-CN"/>
        </w:rPr>
        <w:t>领域专利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审查政策研究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  <w:lang w:val="en"/>
        </w:rPr>
        <w:t>5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大数据、人工智能、基因技术等新领域新业态审查政策标准完善研究</w:t>
      </w:r>
    </w:p>
    <w:p>
      <w:pPr>
        <w:spacing w:line="560" w:lineRule="exact"/>
        <w:ind w:firstLine="640" w:firstLineChars="200"/>
        <w:jc w:val="both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  <w:lang w:val="en"/>
        </w:rPr>
        <w:t>6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关键技术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领域审查标准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完善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）提高专利授权质量相关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理论与实践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问题研究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专利审查管理机制研究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</w:rPr>
        <w:t>审查全流程运行优化研究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9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专利审查机制和协作机制优化研究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</w:rPr>
        <w:t>（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val="en" w:eastAsia="zh-CN"/>
        </w:rPr>
        <w:t>10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eastAsia="zh-CN"/>
        </w:rPr>
        <w:t>适应新审查模式的质量管理完善研究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i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）一流专利审查机构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指标评价研究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4.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专利审查综合保障研究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2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重点领域检索规范研究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3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智能检索系统和审查系统应用研究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4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专利文献信息服务与传播利用研究</w:t>
      </w:r>
    </w:p>
    <w:p>
      <w:pPr>
        <w:spacing w:line="560" w:lineRule="exact"/>
        <w:ind w:firstLine="640" w:firstLineChars="200"/>
        <w:outlineLvl w:val="9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（1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" w:eastAsia="zh-CN"/>
        </w:rPr>
        <w:t>5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专利审查国际合作与比较研究</w:t>
      </w:r>
    </w:p>
    <w:p>
      <w:pPr>
        <w:spacing w:line="560" w:lineRule="exact"/>
        <w:ind w:firstLine="643" w:firstLineChars="200"/>
        <w:rPr>
          <w:rFonts w:ascii="Nimbus Roman No9 L" w:hAnsi="Nimbus Roman No9 L" w:eastAsia="楷体_GB2312" w:cs="Nimbus Roman No9 L"/>
          <w:b/>
          <w:bCs/>
          <w:sz w:val="32"/>
          <w:szCs w:val="22"/>
        </w:rPr>
      </w:pPr>
      <w:r>
        <w:rPr>
          <w:rFonts w:hint="default" w:ascii="Nimbus Roman No9 L" w:hAnsi="Nimbus Roman No9 L" w:eastAsia="楷体_GB2312" w:cs="Nimbus Roman No9 L"/>
          <w:b/>
          <w:bCs/>
          <w:sz w:val="32"/>
          <w:szCs w:val="22"/>
        </w:rPr>
        <w:t>（二）关键核心技术专利分析类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围绕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新一代信息技术、数字经济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、清洁能源、新材料、生物医药、高端装备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等领域的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关键核心技术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，在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全球专利分布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现状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、重点技术发展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趋势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、保护与运用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情况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、重点产品等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方面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开展专利分析研究。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1.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新一代信息技术领域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下一代通信技术、一体化通信网络、操作系统、专业软件、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先进封装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eastAsia="zh-CN"/>
        </w:rPr>
        <w:t>数字经济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高端传感器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专用算法、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AI芯片、AI语言模型、智慧产业等。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清洁能源领域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聚焦新型零碳能源、固态电池、燃料电池、核能利用、碳综合利用和管理、资源循环利用等。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4.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新材料领域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关键基础材料、高性能复合材料、新型显示材料等。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5.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生物医药领域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现代化中医药、新型疫苗、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临床优势突出的化学药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和生物药、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AI制药等。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6.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高端装备领域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重点聚焦核心基础零部件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、航空航天装备、关键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分析仪器、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重型燃气轮机等。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 xml:space="preserve">7.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其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  <w:t>他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除上述方向外，亦可围绕我国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农业现代化领域，例如先进育种技术，以及其他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战略性新兴产业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等方面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开展研究。</w:t>
      </w:r>
    </w:p>
    <w:p>
      <w:pPr>
        <w:spacing w:line="560" w:lineRule="exact"/>
        <w:ind w:firstLine="640" w:firstLineChars="200"/>
        <w:rPr>
          <w:rFonts w:ascii="Nimbus Roman No9 L" w:hAnsi="Nimbus Roman No9 L" w:eastAsia="仿宋_GB2312" w:cs="Nimbus Roman No9 L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b w:val="0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A12B6E-1A64-48DC-A8EB-F42E887103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C73F55-00F9-469F-AD21-AF87266EDDD6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05F08D-9BC3-45A3-944F-BCA08C92FAA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1386FBA-92AD-442D-87B1-307C4C125E0A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23B84A6-58CC-4099-AECE-5870A588F3AC}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6" w:fontKey="{E836C223-1827-46C9-9CC4-E269662280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MTQzNTkzOGZmYWQ4NWUwYTVmNjg3MGYxZGViMjkifQ=="/>
  </w:docVars>
  <w:rsids>
    <w:rsidRoot w:val="BFBF0206"/>
    <w:rsid w:val="07632B05"/>
    <w:rsid w:val="13FBEFD9"/>
    <w:rsid w:val="1F7F38F3"/>
    <w:rsid w:val="25091196"/>
    <w:rsid w:val="2CEF8286"/>
    <w:rsid w:val="7FEA65D2"/>
    <w:rsid w:val="7FFF9EC5"/>
    <w:rsid w:val="96F77F25"/>
    <w:rsid w:val="9DBFD335"/>
    <w:rsid w:val="BCD990D2"/>
    <w:rsid w:val="BFBF0206"/>
    <w:rsid w:val="CD3F8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1341</Characters>
  <Lines>0</Lines>
  <Paragraphs>0</Paragraphs>
  <TotalTime>4.33333333333333</TotalTime>
  <ScaleCrop>false</ScaleCrop>
  <LinksUpToDate>false</LinksUpToDate>
  <CharactersWithSpaces>1354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2023-02-26T02:57:00Z</dcterms:created>
  <dc:creator>李奕霏</dc:creator>
  <cp:lastModifiedBy>WPS_1636107505</cp:lastModifiedBy>
  <dcterms:modified xsi:type="dcterms:W3CDTF">2023-03-03T09:30:21Z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35DDEB3701B940C38B9C4A007091B181</vt:lpwstr>
  </property>
</Properties>
</file>